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3BA73121" w:rsidR="00321CB1" w:rsidRDefault="00321CB1" w:rsidP="00321CB1">
      <w:pPr>
        <w:ind w:firstLine="709"/>
        <w:rPr>
          <w:rFonts w:ascii="Arial" w:hAnsi="Arial" w:cs="Arial"/>
          <w:b/>
          <w:bCs/>
        </w:rPr>
      </w:pPr>
      <w:r>
        <w:rPr>
          <w:rFonts w:ascii="Arial" w:hAnsi="Arial" w:cs="Arial"/>
          <w:b/>
          <w:bCs/>
        </w:rPr>
        <w:t>Fourniture</w:t>
      </w:r>
      <w:r w:rsidR="007C1F1E">
        <w:rPr>
          <w:rFonts w:ascii="Arial" w:hAnsi="Arial" w:cs="Arial"/>
          <w:b/>
          <w:bCs/>
        </w:rPr>
        <w:t>, installation et maintenance de fenêtres à la résidence Mermoz</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1FB7EE36" w:rsidR="009B1CD0" w:rsidRDefault="007C1F1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4BBA77D0" w:rsidR="00321CB1" w:rsidRPr="00CD185D" w:rsidRDefault="007C1F1E"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321CB1">
        <w:rPr>
          <w:rFonts w:ascii="Arial" w:hAnsi="Arial" w:cs="Arial"/>
          <w:lang w:val="en-GB"/>
        </w:rPr>
        <w:t xml:space="preserve"> CCAP n°</w:t>
      </w:r>
      <w:r>
        <w:rPr>
          <w:rFonts w:ascii="Arial" w:hAnsi="Arial" w:cs="Arial"/>
          <w:lang w:val="en-GB"/>
        </w:rPr>
        <w:t xml:space="preserve"> 25.N du 25/06/2025</w:t>
      </w:r>
    </w:p>
    <w:p w14:paraId="06779CF2" w14:textId="1EE3F27C"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7C1F1E">
        <w:rPr>
          <w:rFonts w:ascii="Arial" w:hAnsi="Arial" w:cs="Arial"/>
        </w:rPr>
        <w:t>urnitures courantes et services</w:t>
      </w:r>
    </w:p>
    <w:p w14:paraId="35CCAA36" w14:textId="5D07CE46" w:rsidR="00321CB1" w:rsidRPr="00CD185D" w:rsidRDefault="007C1F1E"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321CB1">
        <w:rPr>
          <w:rFonts w:ascii="Arial" w:hAnsi="Arial" w:cs="Arial"/>
          <w:lang w:val="en-GB"/>
        </w:rPr>
        <w:t xml:space="preserve"> CCTP n°</w:t>
      </w:r>
      <w:r>
        <w:rPr>
          <w:rFonts w:ascii="Arial" w:hAnsi="Arial" w:cs="Arial"/>
          <w:lang w:val="en-GB"/>
        </w:rPr>
        <w:t xml:space="preserve"> 25.N du 25/06/2025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067A71BC" w:rsidR="00321CB1" w:rsidRDefault="007C1F1E"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B.P.U.</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rPr>
        <w:t xml:space="preserve"> aux montants indiqués ci-dessous ;</w:t>
      </w:r>
    </w:p>
    <w:p w14:paraId="293159A0" w14:textId="315DA65F"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 xml:space="preserve"> Taux de la TVA : </w:t>
      </w:r>
      <w:r w:rsidR="007C1F1E">
        <w:t>10 %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lastRenderedPageBreak/>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0F1133C1"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2B4A3BBE"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C1F1E">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1C892FA3" w:rsidR="009B1CD0" w:rsidRDefault="00844DAA" w:rsidP="009B45B9">
      <w:pPr>
        <w:tabs>
          <w:tab w:val="left" w:pos="851"/>
        </w:tabs>
        <w:spacing w:before="120"/>
        <w:ind w:left="567"/>
        <w:jc w:val="both"/>
      </w:pPr>
      <w:r>
        <w:tab/>
      </w:r>
      <w:r w:rsidR="007C1F1E">
        <w:fldChar w:fldCharType="begin">
          <w:ffData>
            <w:name w:val=""/>
            <w:enabled/>
            <w:calcOnExit w:val="0"/>
            <w:checkBox>
              <w:size w:val="20"/>
              <w:default w:val="1"/>
            </w:checkBox>
          </w:ffData>
        </w:fldChar>
      </w:r>
      <w:r w:rsidR="007C1F1E">
        <w:instrText xml:space="preserve"> FORMCHECKBOX </w:instrText>
      </w:r>
      <w:r w:rsidR="007C1F1E">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38236280" w14:textId="54E765E3" w:rsidR="007C1F1E" w:rsidRDefault="007C1F1E" w:rsidP="007C1F1E">
      <w:pPr>
        <w:pStyle w:val="fcasegauche"/>
        <w:tabs>
          <w:tab w:val="left" w:pos="426"/>
          <w:tab w:val="left" w:pos="851"/>
        </w:tabs>
        <w:spacing w:after="0"/>
        <w:ind w:left="0" w:firstLine="0"/>
        <w:jc w:val="left"/>
        <w:rPr>
          <w:rFonts w:ascii="Arial" w:hAnsi="Arial" w:cs="Arial"/>
        </w:rPr>
      </w:pPr>
      <w:r>
        <w:rPr>
          <w:rFonts w:ascii="Arial" w:hAnsi="Arial" w:cs="Arial"/>
        </w:rPr>
        <w:br w:type="page"/>
      </w:r>
    </w:p>
    <w:p w14:paraId="1D5B2812" w14:textId="34E1090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C1F1E">
        <w:fldChar w:fldCharType="separate"/>
      </w:r>
      <w:r w:rsidR="007D7A65">
        <w:fldChar w:fldCharType="end"/>
      </w:r>
      <w:r>
        <w:tab/>
      </w:r>
      <w:r w:rsidR="009D661E">
        <w:t>Non</w:t>
      </w:r>
      <w:r>
        <w:tab/>
      </w:r>
      <w:r>
        <w:tab/>
      </w:r>
      <w:r>
        <w:tab/>
      </w:r>
      <w:r w:rsidR="007C1F1E">
        <w:fldChar w:fldCharType="begin">
          <w:ffData>
            <w:name w:val=""/>
            <w:enabled/>
            <w:calcOnExit w:val="0"/>
            <w:checkBox>
              <w:size w:val="20"/>
              <w:default w:val="1"/>
            </w:checkBox>
          </w:ffData>
        </w:fldChar>
      </w:r>
      <w:r w:rsidR="007C1F1E">
        <w:instrText xml:space="preserve"> FORMCHECKBOX </w:instrText>
      </w:r>
      <w:r w:rsidR="007C1F1E">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5C496E79" w:rsidR="009B1CD0" w:rsidRDefault="007C1F1E"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2</w:t>
      </w:r>
    </w:p>
    <w:p w14:paraId="4628288B" w14:textId="0A2DA2D0"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C1F1E">
        <w:rPr>
          <w:rFonts w:ascii="Arial" w:hAnsi="Arial" w:cs="Arial"/>
        </w:rPr>
        <w:t>12 mois</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3C027CB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C1F1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79655C57" w14:textId="77777777" w:rsidR="007C1F1E" w:rsidRDefault="007C1F1E">
      <w:pPr>
        <w:suppressAutoHyphens w:val="0"/>
      </w:pPr>
      <w:r>
        <w:br w:type="page"/>
      </w:r>
    </w:p>
    <w:p w14:paraId="55D14C63" w14:textId="2D177EB9"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7C1F1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6436B394" w:rsidR="00321CB1" w:rsidRDefault="00321CB1" w:rsidP="00321CB1">
      <w:pPr>
        <w:numPr>
          <w:ilvl w:val="0"/>
          <w:numId w:val="1"/>
        </w:numPr>
        <w:ind w:firstLine="277"/>
        <w:rPr>
          <w:rFonts w:ascii="Arial" w:hAnsi="Arial" w:cs="Arial"/>
        </w:rPr>
      </w:pPr>
      <w:r>
        <w:rPr>
          <w:rFonts w:ascii="Arial" w:hAnsi="Arial" w:cs="Arial"/>
        </w:rPr>
        <w:t xml:space="preserve">Ministère </w:t>
      </w:r>
      <w:r w:rsidR="00F31F30">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429E9F05"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59B65F18"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7C1F1E">
        <w:rPr>
          <w:rFonts w:ascii="Arial" w:hAnsi="Arial" w:cs="Arial"/>
        </w:rPr>
        <w:t>DENT</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47F09D98"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1F1E">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6B4536D0"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1F1E">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C1F1E"/>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F5402-3BCC-4CB5-B7B2-E67FD587E801}">
  <ds:schemaRefs>
    <ds:schemaRef ds:uri="http://schemas.microsoft.com/sharepoint/v3/contenttype/forms"/>
  </ds:schemaRefs>
</ds:datastoreItem>
</file>

<file path=customXml/itemProps2.xml><?xml version="1.0" encoding="utf-8"?>
<ds:datastoreItem xmlns:ds="http://schemas.openxmlformats.org/officeDocument/2006/customXml" ds:itemID="{12B45C4F-A3DA-4AE6-8331-D7461857B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99598-52D2-4AF9-AE6C-A5EB978E9F73}">
  <ds:schemaRefs>
    <ds:schemaRef ds:uri="http://schemas.microsoft.com/office/2006/metadata/properties"/>
    <ds:schemaRef ds:uri="3ee6f26a-f689-45e0-a8fd-4ba17b461813"/>
    <ds:schemaRef ds:uri="http://schemas.microsoft.com/office/2006/documentManagement/types"/>
    <ds:schemaRef ds:uri="http://schemas.microsoft.com/office/infopath/2007/PartnerControls"/>
    <ds:schemaRef ds:uri="http://www.w3.org/XML/1998/namespace"/>
    <ds:schemaRef ds:uri="http://purl.org/dc/dcmitype/"/>
    <ds:schemaRef ds:uri="647f6268-259c-4dc7-a320-542a8850ac07"/>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3D59DF82-1952-4F8F-BBDE-45274742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2339</Words>
  <Characters>12870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15179</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16</cp:revision>
  <cp:lastPrinted>2016-11-04T12:53:00Z</cp:lastPrinted>
  <dcterms:created xsi:type="dcterms:W3CDTF">2019-07-24T09:58:00Z</dcterms:created>
  <dcterms:modified xsi:type="dcterms:W3CDTF">2025-06-24T11:15:00Z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